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36"/>
        </w:rPr>
        <w:t>附件一</w:t>
      </w:r>
    </w:p>
    <w:p>
      <w:pPr>
        <w:jc w:val="center"/>
      </w:pPr>
      <w:r>
        <w:rPr>
          <w:rFonts w:ascii="Times New Roman" w:hAnsi="Times New Roman" w:eastAsia="宋体"/>
          <w:b/>
          <w:sz w:val="24"/>
        </w:rPr>
        <w:t>《佣金分成与结算方案》</w:t>
      </w:r>
    </w:p>
    <w:p/>
    <w:p>
      <w:pPr>
        <w:jc w:val="center"/>
      </w:pPr>
      <w:r>
        <w:rPr>
          <w:rFonts w:ascii="Times New Roman" w:hAnsi="Times New Roman" w:eastAsia="宋体"/>
          <w:b/>
          <w:sz w:val="24"/>
        </w:rPr>
        <w:t>方案名称：方案二 · A（无补贴版）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本附件系《房产经纪业务合作协议》之组成部分，与协议正文具有同等法律效力。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合作方（乙方）：＿＿＿＿＿＿＿＿＿＿＿＿＿＿＿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身份证号 / 统一社会信用代码：＿＿＿＿＿＿＿＿＿＿＿＿＿＿＿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合作起始日：＿＿＿＿年＿＿月＿＿日</w:t>
      </w:r>
    </w:p>
    <w:p/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一、佣金与提成基数口径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佣金：指甲方就乙方参与促成的业务，实际向客户收取的居间佣金（服务费）总额，以居间合同及收款凭证为准。</w:t>
      </w:r>
    </w:p>
    <w:p>
      <w:pPr>
        <w:spacing w:after="40"/>
        <w:ind w:firstLine="480"/>
      </w:pPr>
      <w:r>
        <w:rPr>
          <w:rFonts w:ascii="Times New Roman" w:hAnsi="Times New Roman" w:eastAsia="宋体"/>
          <w:b/>
          <w:sz w:val="24"/>
        </w:rPr>
        <w:t>2. 平台服务费：甲方按佣金总额的 10% 收取平台服务费，用于覆盖系统使用、品牌授权、房源信息、签约与法务、结算与风控等平台资源的投入。</w:t>
      </w:r>
    </w:p>
    <w:p>
      <w:pPr>
        <w:spacing w:after="40"/>
        <w:ind w:firstLine="480"/>
      </w:pPr>
      <w:r>
        <w:rPr>
          <w:rFonts w:ascii="Times New Roman" w:hAnsi="Times New Roman" w:eastAsia="宋体"/>
          <w:b/>
          <w:sz w:val="24"/>
        </w:rPr>
        <w:t>3. 提成基数（业绩）：提成基数 ＝ 佣金总额 ×（1 − 10%）＝ 佣金总额 × 90%。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到账口径：以佣金款项实际到达甲方指定账户、且无退佣、退款、纠纷为结算前提；条件未成就的，不产生提成。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二、提成比例（阶梯累进 · 分段计算）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乙方提成按阶梯累进方式分段计算：提成基数按下列区间拆分，每一区间内的金额适用该区间的提成比例，各区间提成合计即为乙方当期提成。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提成基数区间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该区间提成比例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0 – 6,000 元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22%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提成基数中前 6,000 元的部分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6,000 元以上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提成基数中超过 6,000 元的部分</w:t>
            </w:r>
          </w:p>
        </w:tc>
      </w:tr>
    </w:tbl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示例口径：若提成基数为 8,000 元，则前 6,000 元按 22%、超过的 2,000 元按 100% 分别计提后相加（＝3,320 元），而非对全额统一适用某一比例。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三、提成计算示例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以下示例以单月累计提成基数计算，仅为计算方式演示，实际以本附件约定的业绩累计口径为准。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提成基数（元）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计算过程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乙方提成（元）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5000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5000×22%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1100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8000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6000×22% + 2000×100%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3320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15000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6000×22% + 9000×100%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10320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20000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6000×22% + 14000×100%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15320</w:t>
            </w:r>
          </w:p>
        </w:tc>
      </w:tr>
    </w:tbl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四、结算周期与方式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业绩累计口径：■按当月累计提成基数（月度累计）　□按单笔业务提成基数。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结算周期：□随单结算　□按周结算　□按半月结算（勾选其一）。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结算流程：甲方出具《业务结算确认单》→ 双方对账确认 → 甲方以对公账户直接支付至乙方指定账户。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支付时限：结算条件成就后＿＿个工作日内。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5. 收款账户：乙方为自然人的，为其本人实名银行账户；乙方为个体工商户的，为其对公账户。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五、税费处理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乙方为自然人的：提成收入属"劳务报酬所得"，甲方作为支付方系法定扣缴义务人，依法按次（连续性收入以一个月内取得的收入为一次）预扣预缴个人所得税——每次收入不超过 4,000 元的减除 800 元费用，4,000 元以上的减除 20% 费用，余额适用 20%–40% 三级预扣率；年度终了由乙方并入综合所得办理汇算清缴，多退少补。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乙方为个体工商户的：提成收入属"经营所得"，由乙方自行依法申报缴纳并开具发票，甲方依法不代扣代缴。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乙方应配合甲方依法履行扣缴义务；乙方不得要求甲方以"工资""薪酬"等名目处理提成款。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双方非劳动关系，甲方不代缴社会保险与公积金。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六、票据与凭证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乙方为个体工商户的，应按结算金额向甲方开具合法有效发票。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乙方为自然人的，可依法向税务机关申请代开增值税普通发票，或按甲方要求提供合法收款凭证。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因乙方未提供合规票据致使甲方承担额外税负或损失的，由乙方承担相应责任。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七、扣回与冲抵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因乙方过错导致退佣、赔偿的，甲方有权在后续提成中相应扣回，并向乙方出具书面说明。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因退佣、退款导致当期提成基数回落的，甲方有权按调整后的提成基数重新核算，对已多付部分予以冲抵。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乙方对扣回、冲抵有异议的，可依据协议争议解决条款协商处理。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八、其他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本附件关于平台服务费、提成比例、补贴的约定，与协议正文不一致的，以本附件为准。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本附件一式两份，甲乙双方各执一份，自双方签字（盖章）之日起生效。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甲方（盖章）：＿＿＿＿＿＿＿＿　　乙方（签字／盖章）：＿＿＿＿＿＿＿＿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授权代表签字：＿＿＿＿＿＿　　　　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