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黑体"/>
          <w:b/>
          <w:sz w:val="36"/>
        </w:rPr>
        <w:t>附件一</w:t>
      </w:r>
    </w:p>
    <w:p>
      <w:pPr>
        <w:jc w:val="center"/>
      </w:pPr>
      <w:r>
        <w:rPr>
          <w:rFonts w:ascii="Times New Roman" w:hAnsi="Times New Roman" w:eastAsia="宋体"/>
          <w:b/>
          <w:sz w:val="24"/>
        </w:rPr>
        <w:t>《佣金分成与结算方案》</w:t>
      </w:r>
    </w:p>
    <w:p/>
    <w:p>
      <w:pPr>
        <w:jc w:val="center"/>
      </w:pPr>
      <w:r>
        <w:rPr>
          <w:rFonts w:ascii="Times New Roman" w:hAnsi="Times New Roman" w:eastAsia="宋体"/>
          <w:b/>
          <w:sz w:val="24"/>
        </w:rPr>
        <w:t>方案名称：方案二 · B（无补贴版）</w:t>
      </w:r>
    </w:p>
    <w:p/>
    <w:p>
      <w:pPr>
        <w:spacing w:after="40"/>
      </w:pPr>
      <w:r>
        <w:rPr>
          <w:rFonts w:ascii="Times New Roman" w:hAnsi="Times New Roman" w:eastAsia="宋体"/>
          <w:b w:val="0"/>
          <w:sz w:val="24"/>
        </w:rPr>
        <w:t>本附件系《房产经纪业务合作协议》之组成部分，与协议正文具有同等法律效力。</w:t>
      </w:r>
    </w:p>
    <w:p/>
    <w:p>
      <w:pPr>
        <w:spacing w:after="40"/>
      </w:pPr>
      <w:r>
        <w:rPr>
          <w:rFonts w:ascii="Times New Roman" w:hAnsi="Times New Roman" w:eastAsia="宋体"/>
          <w:b w:val="0"/>
          <w:sz w:val="24"/>
        </w:rPr>
        <w:t>合作方（乙方）：＿＿＿＿＿＿＿＿＿＿＿＿＿＿＿</w:t>
      </w:r>
    </w:p>
    <w:p>
      <w:pPr>
        <w:spacing w:after="40"/>
      </w:pPr>
      <w:r>
        <w:rPr>
          <w:rFonts w:ascii="Times New Roman" w:hAnsi="Times New Roman" w:eastAsia="宋体"/>
          <w:b w:val="0"/>
          <w:sz w:val="24"/>
        </w:rPr>
        <w:t>身份证号 / 统一社会信用代码：＿＿＿＿＿＿＿＿＿＿＿＿＿＿＿</w:t>
      </w:r>
    </w:p>
    <w:p>
      <w:pPr>
        <w:spacing w:after="40"/>
      </w:pPr>
      <w:r>
        <w:rPr>
          <w:rFonts w:ascii="Times New Roman" w:hAnsi="Times New Roman" w:eastAsia="宋体"/>
          <w:b w:val="0"/>
          <w:sz w:val="24"/>
        </w:rPr>
        <w:t>合作起始日：＿＿＿＿年＿＿月＿＿日</w:t>
      </w:r>
    </w:p>
    <w:p/>
    <w:p>
      <w:pPr>
        <w:spacing w:before="280" w:after="80"/>
      </w:pPr>
      <w:r>
        <w:rPr>
          <w:rFonts w:ascii="Times New Roman" w:hAnsi="Times New Roman" w:eastAsia="黑体"/>
          <w:b/>
          <w:sz w:val="26"/>
        </w:rPr>
        <w:t>一、佣金与提成基数口径</w:t>
      </w:r>
    </w:p>
    <w:p>
      <w:pPr>
        <w:spacing w:after="40"/>
        <w:ind w:firstLine="480"/>
      </w:pPr>
      <w:r>
        <w:rPr>
          <w:rFonts w:ascii="Times New Roman" w:hAnsi="Times New Roman" w:eastAsia="宋体"/>
          <w:b w:val="0"/>
          <w:sz w:val="24"/>
        </w:rPr>
        <w:t>1. 佣金：指甲方就乙方参与促成的业务，实际向客户收取的居间佣金（服务费）总额，以居间合同及收款凭证为准。</w:t>
      </w:r>
    </w:p>
    <w:p>
      <w:pPr>
        <w:spacing w:after="40"/>
        <w:ind w:firstLine="480"/>
      </w:pPr>
      <w:r>
        <w:rPr>
          <w:rFonts w:ascii="Times New Roman" w:hAnsi="Times New Roman" w:eastAsia="宋体"/>
          <w:b/>
          <w:sz w:val="24"/>
        </w:rPr>
        <w:t>2. 平台服务费：甲方按佣金总额的 10% 收取平台服务费，用于覆盖系统使用、品牌授权、房源信息、签约与法务、结算与风控等平台资源的投入。</w:t>
      </w:r>
    </w:p>
    <w:p>
      <w:pPr>
        <w:spacing w:after="40"/>
        <w:ind w:firstLine="480"/>
      </w:pPr>
      <w:r>
        <w:rPr>
          <w:rFonts w:ascii="Times New Roman" w:hAnsi="Times New Roman" w:eastAsia="宋体"/>
          <w:b/>
          <w:sz w:val="24"/>
        </w:rPr>
        <w:t>3. 提成基数（业绩）：提成基数 ＝ 佣金总额 ×（1 − 10%）＝ 佣金总额 × 90%。</w:t>
      </w:r>
    </w:p>
    <w:p>
      <w:pPr>
        <w:spacing w:after="40"/>
        <w:ind w:firstLine="480"/>
      </w:pPr>
      <w:r>
        <w:rPr>
          <w:rFonts w:ascii="Times New Roman" w:hAnsi="Times New Roman" w:eastAsia="宋体"/>
          <w:b w:val="0"/>
          <w:sz w:val="24"/>
        </w:rPr>
        <w:t>4. 到账口径：以佣金款项实际到达甲方指定账户、且无退佣、退款、纠纷为结算前提；条件未成就的，不产生提成。</w:t>
      </w:r>
    </w:p>
    <w:p>
      <w:pPr>
        <w:spacing w:before="280" w:after="80"/>
      </w:pPr>
      <w:r>
        <w:rPr>
          <w:rFonts w:ascii="Times New Roman" w:hAnsi="Times New Roman" w:eastAsia="黑体"/>
          <w:b/>
          <w:sz w:val="26"/>
        </w:rPr>
        <w:t>二、提成比例（阶梯累进 · 分段计算）</w:t>
      </w:r>
    </w:p>
    <w:p>
      <w:pPr>
        <w:spacing w:after="40"/>
        <w:ind w:firstLine="480"/>
      </w:pPr>
      <w:r>
        <w:rPr>
          <w:rFonts w:ascii="Times New Roman" w:hAnsi="Times New Roman" w:eastAsia="宋体"/>
          <w:b w:val="0"/>
          <w:sz w:val="24"/>
        </w:rPr>
        <w:t>乙方提成按阶梯累进方式分段计算：提成基数按下列区间拆分，每一区间内的金额适用该区间的提成比例，各区间提成合计即为乙方当期提成。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rPr>
                <w:rFonts w:ascii="Times New Roman" w:hAnsi="Times New Roman" w:eastAsia="宋体"/>
                <w:b/>
                <w:sz w:val="22"/>
              </w:rPr>
              <w:t>提成基数区间</w:t>
            </w:r>
          </w:p>
        </w:tc>
        <w:tc>
          <w:tcPr>
            <w:tcW w:type="dxa" w:w="2880"/>
          </w:tcPr>
          <w:p>
            <w:r/>
            <w:r>
              <w:rPr>
                <w:rFonts w:ascii="Times New Roman" w:hAnsi="Times New Roman" w:eastAsia="宋体"/>
                <w:b/>
                <w:sz w:val="22"/>
              </w:rPr>
              <w:t>该区间提成比例</w:t>
            </w:r>
          </w:p>
        </w:tc>
        <w:tc>
          <w:tcPr>
            <w:tcW w:type="dxa" w:w="2880"/>
          </w:tcPr>
          <w:p>
            <w:r/>
            <w:r>
              <w:rPr>
                <w:rFonts w:ascii="Times New Roman" w:hAnsi="Times New Roman" w:eastAsia="宋体"/>
                <w:b/>
                <w:sz w:val="22"/>
              </w:rPr>
              <w:t>说明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Times New Roman" w:hAnsi="Times New Roman" w:eastAsia="宋体"/>
                <w:b w:val="0"/>
                <w:sz w:val="22"/>
              </w:rPr>
              <w:t>0 – 4,000 元</w:t>
            </w:r>
          </w:p>
        </w:tc>
        <w:tc>
          <w:tcPr>
            <w:tcW w:type="dxa" w:w="2880"/>
          </w:tcPr>
          <w:p>
            <w:r/>
            <w:r>
              <w:rPr>
                <w:rFonts w:ascii="Times New Roman" w:hAnsi="Times New Roman" w:eastAsia="宋体"/>
                <w:b w:val="0"/>
                <w:sz w:val="22"/>
              </w:rPr>
              <w:t>100%</w:t>
            </w:r>
          </w:p>
        </w:tc>
        <w:tc>
          <w:tcPr>
            <w:tcW w:type="dxa" w:w="2880"/>
          </w:tcPr>
          <w:p>
            <w:r/>
            <w:r>
              <w:rPr>
                <w:rFonts w:ascii="Times New Roman" w:hAnsi="Times New Roman" w:eastAsia="宋体"/>
                <w:b w:val="0"/>
                <w:sz w:val="22"/>
              </w:rPr>
              <w:t>提成基数中前 4,000 元的部分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Times New Roman" w:hAnsi="Times New Roman" w:eastAsia="宋体"/>
                <w:b w:val="0"/>
                <w:sz w:val="22"/>
              </w:rPr>
              <w:t>4,000 – 10,000 元</w:t>
            </w:r>
          </w:p>
        </w:tc>
        <w:tc>
          <w:tcPr>
            <w:tcW w:type="dxa" w:w="2880"/>
          </w:tcPr>
          <w:p>
            <w:r/>
            <w:r>
              <w:rPr>
                <w:rFonts w:ascii="Times New Roman" w:hAnsi="Times New Roman" w:eastAsia="宋体"/>
                <w:b w:val="0"/>
                <w:sz w:val="22"/>
              </w:rPr>
              <w:t>22%</w:t>
            </w:r>
          </w:p>
        </w:tc>
        <w:tc>
          <w:tcPr>
            <w:tcW w:type="dxa" w:w="2880"/>
          </w:tcPr>
          <w:p>
            <w:r/>
            <w:r>
              <w:rPr>
                <w:rFonts w:ascii="Times New Roman" w:hAnsi="Times New Roman" w:eastAsia="宋体"/>
                <w:b w:val="0"/>
                <w:sz w:val="22"/>
              </w:rPr>
              <w:t>提成基数中 4,000–10,000 元的部分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Times New Roman" w:hAnsi="Times New Roman" w:eastAsia="宋体"/>
                <w:b w:val="0"/>
                <w:sz w:val="22"/>
              </w:rPr>
              <w:t>10,000 元以上</w:t>
            </w:r>
          </w:p>
        </w:tc>
        <w:tc>
          <w:tcPr>
            <w:tcW w:type="dxa" w:w="2880"/>
          </w:tcPr>
          <w:p>
            <w:r/>
            <w:r>
              <w:rPr>
                <w:rFonts w:ascii="Times New Roman" w:hAnsi="Times New Roman" w:eastAsia="宋体"/>
                <w:b w:val="0"/>
                <w:sz w:val="22"/>
              </w:rPr>
              <w:t>100%</w:t>
            </w:r>
          </w:p>
        </w:tc>
        <w:tc>
          <w:tcPr>
            <w:tcW w:type="dxa" w:w="2880"/>
          </w:tcPr>
          <w:p>
            <w:r/>
            <w:r>
              <w:rPr>
                <w:rFonts w:ascii="Times New Roman" w:hAnsi="Times New Roman" w:eastAsia="宋体"/>
                <w:b w:val="0"/>
                <w:sz w:val="22"/>
              </w:rPr>
              <w:t>提成基数中超过 10,000 元的部分</w:t>
            </w:r>
          </w:p>
        </w:tc>
      </w:tr>
    </w:tbl>
    <w:p>
      <w:pPr>
        <w:spacing w:after="40"/>
        <w:ind w:firstLine="480"/>
      </w:pPr>
      <w:r>
        <w:rPr>
          <w:rFonts w:ascii="Times New Roman" w:hAnsi="Times New Roman" w:eastAsia="宋体"/>
          <w:b w:val="0"/>
          <w:sz w:val="24"/>
        </w:rPr>
        <w:t>示例口径：若提成基数为 8,000 元，则前 4,000 元按 100%、4,000–10,000 元区间内的 4,000 元按 22% 分别计提后相加（＝4,880 元），而非对全额统一适用某一比例。</w:t>
      </w:r>
    </w:p>
    <w:p>
      <w:pPr>
        <w:spacing w:before="280" w:after="80"/>
      </w:pPr>
      <w:r>
        <w:rPr>
          <w:rFonts w:ascii="Times New Roman" w:hAnsi="Times New Roman" w:eastAsia="黑体"/>
          <w:b/>
          <w:sz w:val="26"/>
        </w:rPr>
        <w:t>三、提成计算示例</w:t>
      </w:r>
    </w:p>
    <w:p>
      <w:pPr>
        <w:spacing w:after="40"/>
        <w:ind w:firstLine="480"/>
      </w:pPr>
      <w:r>
        <w:rPr>
          <w:rFonts w:ascii="Times New Roman" w:hAnsi="Times New Roman" w:eastAsia="宋体"/>
          <w:b w:val="0"/>
          <w:sz w:val="24"/>
        </w:rPr>
        <w:t>以下示例以单月累计提成基数计算，仅为计算方式演示，实际以本附件约定的业绩累计口径为准。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rPr>
                <w:rFonts w:ascii="Times New Roman" w:hAnsi="Times New Roman" w:eastAsia="宋体"/>
                <w:b/>
                <w:sz w:val="22"/>
              </w:rPr>
              <w:t>提成基数（元）</w:t>
            </w:r>
          </w:p>
        </w:tc>
        <w:tc>
          <w:tcPr>
            <w:tcW w:type="dxa" w:w="2880"/>
          </w:tcPr>
          <w:p>
            <w:r/>
            <w:r>
              <w:rPr>
                <w:rFonts w:ascii="Times New Roman" w:hAnsi="Times New Roman" w:eastAsia="宋体"/>
                <w:b/>
                <w:sz w:val="22"/>
              </w:rPr>
              <w:t>计算过程</w:t>
            </w:r>
          </w:p>
        </w:tc>
        <w:tc>
          <w:tcPr>
            <w:tcW w:type="dxa" w:w="2880"/>
          </w:tcPr>
          <w:p>
            <w:r/>
            <w:r>
              <w:rPr>
                <w:rFonts w:ascii="Times New Roman" w:hAnsi="Times New Roman" w:eastAsia="宋体"/>
                <w:b/>
                <w:sz w:val="22"/>
              </w:rPr>
              <w:t>乙方提成（元）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Times New Roman" w:hAnsi="Times New Roman" w:eastAsia="宋体"/>
                <w:b w:val="0"/>
                <w:sz w:val="22"/>
              </w:rPr>
              <w:t>3000</w:t>
            </w:r>
          </w:p>
        </w:tc>
        <w:tc>
          <w:tcPr>
            <w:tcW w:type="dxa" w:w="2880"/>
          </w:tcPr>
          <w:p>
            <w:r/>
            <w:r>
              <w:rPr>
                <w:rFonts w:ascii="Times New Roman" w:hAnsi="Times New Roman" w:eastAsia="宋体"/>
                <w:b w:val="0"/>
                <w:sz w:val="22"/>
              </w:rPr>
              <w:t>3000×100%</w:t>
            </w:r>
          </w:p>
        </w:tc>
        <w:tc>
          <w:tcPr>
            <w:tcW w:type="dxa" w:w="2880"/>
          </w:tcPr>
          <w:p>
            <w:r/>
            <w:r>
              <w:rPr>
                <w:rFonts w:ascii="Times New Roman" w:hAnsi="Times New Roman" w:eastAsia="宋体"/>
                <w:b w:val="0"/>
                <w:sz w:val="22"/>
              </w:rPr>
              <w:t>3000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Times New Roman" w:hAnsi="Times New Roman" w:eastAsia="宋体"/>
                <w:b w:val="0"/>
                <w:sz w:val="22"/>
              </w:rPr>
              <w:t>8000</w:t>
            </w:r>
          </w:p>
        </w:tc>
        <w:tc>
          <w:tcPr>
            <w:tcW w:type="dxa" w:w="2880"/>
          </w:tcPr>
          <w:p>
            <w:r/>
            <w:r>
              <w:rPr>
                <w:rFonts w:ascii="Times New Roman" w:hAnsi="Times New Roman" w:eastAsia="宋体"/>
                <w:b w:val="0"/>
                <w:sz w:val="22"/>
              </w:rPr>
              <w:t>4000×100% + 4000×22%</w:t>
            </w:r>
          </w:p>
        </w:tc>
        <w:tc>
          <w:tcPr>
            <w:tcW w:type="dxa" w:w="2880"/>
          </w:tcPr>
          <w:p>
            <w:r/>
            <w:r>
              <w:rPr>
                <w:rFonts w:ascii="Times New Roman" w:hAnsi="Times New Roman" w:eastAsia="宋体"/>
                <w:b w:val="0"/>
                <w:sz w:val="22"/>
              </w:rPr>
              <w:t>4880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Times New Roman" w:hAnsi="Times New Roman" w:eastAsia="宋体"/>
                <w:b w:val="0"/>
                <w:sz w:val="22"/>
              </w:rPr>
              <w:t>15000</w:t>
            </w:r>
          </w:p>
        </w:tc>
        <w:tc>
          <w:tcPr>
            <w:tcW w:type="dxa" w:w="2880"/>
          </w:tcPr>
          <w:p>
            <w:r/>
            <w:r>
              <w:rPr>
                <w:rFonts w:ascii="Times New Roman" w:hAnsi="Times New Roman" w:eastAsia="宋体"/>
                <w:b w:val="0"/>
                <w:sz w:val="22"/>
              </w:rPr>
              <w:t>4000×100% + 6000×22% + 5000×100%</w:t>
            </w:r>
          </w:p>
        </w:tc>
        <w:tc>
          <w:tcPr>
            <w:tcW w:type="dxa" w:w="2880"/>
          </w:tcPr>
          <w:p>
            <w:r/>
            <w:r>
              <w:rPr>
                <w:rFonts w:ascii="Times New Roman" w:hAnsi="Times New Roman" w:eastAsia="宋体"/>
                <w:b w:val="0"/>
                <w:sz w:val="22"/>
              </w:rPr>
              <w:t>10320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Times New Roman" w:hAnsi="Times New Roman" w:eastAsia="宋体"/>
                <w:b w:val="0"/>
                <w:sz w:val="22"/>
              </w:rPr>
              <w:t>20000</w:t>
            </w:r>
          </w:p>
        </w:tc>
        <w:tc>
          <w:tcPr>
            <w:tcW w:type="dxa" w:w="2880"/>
          </w:tcPr>
          <w:p>
            <w:r/>
            <w:r>
              <w:rPr>
                <w:rFonts w:ascii="Times New Roman" w:hAnsi="Times New Roman" w:eastAsia="宋体"/>
                <w:b w:val="0"/>
                <w:sz w:val="22"/>
              </w:rPr>
              <w:t>4000×100% + 6000×22% + 10000×100%</w:t>
            </w:r>
          </w:p>
        </w:tc>
        <w:tc>
          <w:tcPr>
            <w:tcW w:type="dxa" w:w="2880"/>
          </w:tcPr>
          <w:p>
            <w:r/>
            <w:r>
              <w:rPr>
                <w:rFonts w:ascii="Times New Roman" w:hAnsi="Times New Roman" w:eastAsia="宋体"/>
                <w:b w:val="0"/>
                <w:sz w:val="22"/>
              </w:rPr>
              <w:t>15320</w:t>
            </w:r>
          </w:p>
        </w:tc>
      </w:tr>
    </w:tbl>
    <w:p>
      <w:pPr>
        <w:spacing w:before="280" w:after="80"/>
      </w:pPr>
      <w:r>
        <w:rPr>
          <w:rFonts w:ascii="Times New Roman" w:hAnsi="Times New Roman" w:eastAsia="黑体"/>
          <w:b/>
          <w:sz w:val="26"/>
        </w:rPr>
        <w:t>四、结算周期与方式</w:t>
      </w:r>
    </w:p>
    <w:p>
      <w:pPr>
        <w:spacing w:after="40"/>
        <w:ind w:firstLine="480"/>
      </w:pPr>
      <w:r>
        <w:rPr>
          <w:rFonts w:ascii="Times New Roman" w:hAnsi="Times New Roman" w:eastAsia="宋体"/>
          <w:b w:val="0"/>
          <w:sz w:val="24"/>
        </w:rPr>
        <w:t>1. 业绩累计口径：■按当月累计提成基数（月度累计）　□按单笔业务提成基数。</w:t>
      </w:r>
    </w:p>
    <w:p>
      <w:pPr>
        <w:spacing w:after="40"/>
        <w:ind w:firstLine="480"/>
      </w:pPr>
      <w:r>
        <w:rPr>
          <w:rFonts w:ascii="Times New Roman" w:hAnsi="Times New Roman" w:eastAsia="宋体"/>
          <w:b w:val="0"/>
          <w:sz w:val="24"/>
        </w:rPr>
        <w:t>2. 结算周期：□随单结算　□按周结算　□按半月结算（勾选其一）。</w:t>
      </w:r>
    </w:p>
    <w:p>
      <w:pPr>
        <w:spacing w:after="40"/>
        <w:ind w:firstLine="480"/>
      </w:pPr>
      <w:r>
        <w:rPr>
          <w:rFonts w:ascii="Times New Roman" w:hAnsi="Times New Roman" w:eastAsia="宋体"/>
          <w:b w:val="0"/>
          <w:sz w:val="24"/>
        </w:rPr>
        <w:t>3. 结算流程：甲方出具《业务结算确认单》→ 双方对账确认 → 甲方以对公账户直接支付至乙方指定账户。</w:t>
      </w:r>
    </w:p>
    <w:p>
      <w:pPr>
        <w:spacing w:after="40"/>
        <w:ind w:firstLine="480"/>
      </w:pPr>
      <w:r>
        <w:rPr>
          <w:rFonts w:ascii="Times New Roman" w:hAnsi="Times New Roman" w:eastAsia="宋体"/>
          <w:b w:val="0"/>
          <w:sz w:val="24"/>
        </w:rPr>
        <w:t>4. 支付时限：结算条件成就后＿＿个工作日内。</w:t>
      </w:r>
    </w:p>
    <w:p>
      <w:pPr>
        <w:spacing w:after="40"/>
        <w:ind w:firstLine="480"/>
      </w:pPr>
      <w:r>
        <w:rPr>
          <w:rFonts w:ascii="Times New Roman" w:hAnsi="Times New Roman" w:eastAsia="宋体"/>
          <w:b w:val="0"/>
          <w:sz w:val="24"/>
        </w:rPr>
        <w:t>5. 收款账户：乙方为自然人的，为其本人实名银行账户；乙方为个体工商户的，为其对公账户。</w:t>
      </w:r>
    </w:p>
    <w:p>
      <w:pPr>
        <w:spacing w:before="280" w:after="80"/>
      </w:pPr>
      <w:r>
        <w:rPr>
          <w:rFonts w:ascii="Times New Roman" w:hAnsi="Times New Roman" w:eastAsia="黑体"/>
          <w:b/>
          <w:sz w:val="26"/>
        </w:rPr>
        <w:t>五、税费处理</w:t>
      </w:r>
    </w:p>
    <w:p>
      <w:pPr>
        <w:spacing w:after="40"/>
        <w:ind w:firstLine="480"/>
      </w:pPr>
      <w:r>
        <w:rPr>
          <w:rFonts w:ascii="Times New Roman" w:hAnsi="Times New Roman" w:eastAsia="宋体"/>
          <w:b w:val="0"/>
          <w:sz w:val="24"/>
        </w:rPr>
        <w:t>1. 乙方为自然人的：提成收入属"劳务报酬所得"，甲方作为支付方系法定扣缴义务人，依法按次（连续性收入以一个月内取得的收入为一次）预扣预缴个人所得税——每次收入不超过 4,000 元的减除 800 元费用，4,000 元以上的减除 20% 费用，余额适用 20%–40% 三级预扣率；年度终了由乙方并入综合所得办理汇算清缴，多退少补。</w:t>
      </w:r>
    </w:p>
    <w:p>
      <w:pPr>
        <w:spacing w:after="40"/>
        <w:ind w:firstLine="480"/>
      </w:pPr>
      <w:r>
        <w:rPr>
          <w:rFonts w:ascii="Times New Roman" w:hAnsi="Times New Roman" w:eastAsia="宋体"/>
          <w:b w:val="0"/>
          <w:sz w:val="24"/>
        </w:rPr>
        <w:t>2. 乙方为个体工商户的：提成收入属"经营所得"，由乙方自行依法申报缴纳并开具发票，甲方依法不代扣代缴。</w:t>
      </w:r>
    </w:p>
    <w:p>
      <w:pPr>
        <w:spacing w:after="40"/>
        <w:ind w:firstLine="480"/>
      </w:pPr>
      <w:r>
        <w:rPr>
          <w:rFonts w:ascii="Times New Roman" w:hAnsi="Times New Roman" w:eastAsia="宋体"/>
          <w:b w:val="0"/>
          <w:sz w:val="24"/>
        </w:rPr>
        <w:t>3. 乙方应配合甲方依法履行扣缴义务；乙方不得要求甲方以"工资""薪酬"等名目处理提成款。</w:t>
      </w:r>
    </w:p>
    <w:p>
      <w:pPr>
        <w:spacing w:after="40"/>
        <w:ind w:firstLine="480"/>
      </w:pPr>
      <w:r>
        <w:rPr>
          <w:rFonts w:ascii="Times New Roman" w:hAnsi="Times New Roman" w:eastAsia="宋体"/>
          <w:b w:val="0"/>
          <w:sz w:val="24"/>
        </w:rPr>
        <w:t>4. 双方非劳动关系，甲方不代缴社会保险与公积金。</w:t>
      </w:r>
    </w:p>
    <w:p>
      <w:pPr>
        <w:spacing w:before="280" w:after="80"/>
      </w:pPr>
      <w:r>
        <w:rPr>
          <w:rFonts w:ascii="Times New Roman" w:hAnsi="Times New Roman" w:eastAsia="黑体"/>
          <w:b/>
          <w:sz w:val="26"/>
        </w:rPr>
        <w:t>六、票据与凭证</w:t>
      </w:r>
    </w:p>
    <w:p>
      <w:pPr>
        <w:spacing w:after="40"/>
        <w:ind w:firstLine="480"/>
      </w:pPr>
      <w:r>
        <w:rPr>
          <w:rFonts w:ascii="Times New Roman" w:hAnsi="Times New Roman" w:eastAsia="宋体"/>
          <w:b w:val="0"/>
          <w:sz w:val="24"/>
        </w:rPr>
        <w:t>1. 乙方为个体工商户的，应按结算金额向甲方开具合法有效发票。</w:t>
      </w:r>
    </w:p>
    <w:p>
      <w:pPr>
        <w:spacing w:after="40"/>
        <w:ind w:firstLine="480"/>
      </w:pPr>
      <w:r>
        <w:rPr>
          <w:rFonts w:ascii="Times New Roman" w:hAnsi="Times New Roman" w:eastAsia="宋体"/>
          <w:b w:val="0"/>
          <w:sz w:val="24"/>
        </w:rPr>
        <w:t>2. 乙方为自然人的，可依法向税务机关申请代开增值税普通发票，或按甲方要求提供合法收款凭证。</w:t>
      </w:r>
    </w:p>
    <w:p>
      <w:pPr>
        <w:spacing w:after="40"/>
        <w:ind w:firstLine="480"/>
      </w:pPr>
      <w:r>
        <w:rPr>
          <w:rFonts w:ascii="Times New Roman" w:hAnsi="Times New Roman" w:eastAsia="宋体"/>
          <w:b w:val="0"/>
          <w:sz w:val="24"/>
        </w:rPr>
        <w:t>3. 因乙方未提供合规票据致使甲方承担额外税负或损失的，由乙方承担相应责任。</w:t>
      </w:r>
    </w:p>
    <w:p>
      <w:pPr>
        <w:spacing w:before="280" w:after="80"/>
      </w:pPr>
      <w:r>
        <w:rPr>
          <w:rFonts w:ascii="Times New Roman" w:hAnsi="Times New Roman" w:eastAsia="黑体"/>
          <w:b/>
          <w:sz w:val="26"/>
        </w:rPr>
        <w:t>七、扣回与冲抵</w:t>
      </w:r>
    </w:p>
    <w:p>
      <w:pPr>
        <w:spacing w:after="40"/>
        <w:ind w:firstLine="480"/>
      </w:pPr>
      <w:r>
        <w:rPr>
          <w:rFonts w:ascii="Times New Roman" w:hAnsi="Times New Roman" w:eastAsia="宋体"/>
          <w:b w:val="0"/>
          <w:sz w:val="24"/>
        </w:rPr>
        <w:t>1. 因乙方过错导致退佣、赔偿的，甲方有权在后续提成中相应扣回，并向乙方出具书面说明。</w:t>
      </w:r>
    </w:p>
    <w:p>
      <w:pPr>
        <w:spacing w:after="40"/>
        <w:ind w:firstLine="480"/>
      </w:pPr>
      <w:r>
        <w:rPr>
          <w:rFonts w:ascii="Times New Roman" w:hAnsi="Times New Roman" w:eastAsia="宋体"/>
          <w:b w:val="0"/>
          <w:sz w:val="24"/>
        </w:rPr>
        <w:t>2. 因退佣、退款导致当期提成基数回落的，甲方有权按调整后的提成基数重新核算，对已多付部分予以冲抵。</w:t>
      </w:r>
    </w:p>
    <w:p>
      <w:pPr>
        <w:spacing w:after="40"/>
        <w:ind w:firstLine="480"/>
      </w:pPr>
      <w:r>
        <w:rPr>
          <w:rFonts w:ascii="Times New Roman" w:hAnsi="Times New Roman" w:eastAsia="宋体"/>
          <w:b w:val="0"/>
          <w:sz w:val="24"/>
        </w:rPr>
        <w:t>3. 乙方对扣回、冲抵有异议的，可依据协议争议解决条款协商处理。</w:t>
      </w:r>
    </w:p>
    <w:p>
      <w:pPr>
        <w:spacing w:before="280" w:after="80"/>
      </w:pPr>
      <w:r>
        <w:rPr>
          <w:rFonts w:ascii="Times New Roman" w:hAnsi="Times New Roman" w:eastAsia="黑体"/>
          <w:b/>
          <w:sz w:val="26"/>
        </w:rPr>
        <w:t>八、其他</w:t>
      </w:r>
    </w:p>
    <w:p>
      <w:pPr>
        <w:spacing w:after="40"/>
        <w:ind w:firstLine="480"/>
      </w:pPr>
      <w:r>
        <w:rPr>
          <w:rFonts w:ascii="Times New Roman" w:hAnsi="Times New Roman" w:eastAsia="宋体"/>
          <w:b w:val="0"/>
          <w:sz w:val="24"/>
        </w:rPr>
        <w:t>1. 本附件关于平台服务费、提成比例、补贴的约定，与协议正文不一致的，以本附件为准。</w:t>
      </w:r>
    </w:p>
    <w:p>
      <w:pPr>
        <w:spacing w:after="40"/>
        <w:ind w:firstLine="480"/>
      </w:pPr>
      <w:r>
        <w:rPr>
          <w:rFonts w:ascii="Times New Roman" w:hAnsi="Times New Roman" w:eastAsia="宋体"/>
          <w:b w:val="0"/>
          <w:sz w:val="24"/>
        </w:rPr>
        <w:t>2. 本附件一式两份，甲乙双方各执一份，自双方签字（盖章）之日起生效。</w:t>
      </w:r>
    </w:p>
    <w:p/>
    <w:p>
      <w:pPr>
        <w:spacing w:after="40"/>
      </w:pPr>
      <w:r>
        <w:rPr>
          <w:rFonts w:ascii="Times New Roman" w:hAnsi="Times New Roman" w:eastAsia="宋体"/>
          <w:b w:val="0"/>
          <w:sz w:val="24"/>
        </w:rPr>
        <w:t>甲方（盖章）：＿＿＿＿＿＿＿＿　　乙方（签字／盖章）：＿＿＿＿＿＿＿＿</w:t>
      </w:r>
    </w:p>
    <w:p>
      <w:pPr>
        <w:spacing w:after="40"/>
      </w:pPr>
      <w:r>
        <w:rPr>
          <w:rFonts w:ascii="Times New Roman" w:hAnsi="Times New Roman" w:eastAsia="宋体"/>
          <w:b w:val="0"/>
          <w:sz w:val="24"/>
        </w:rPr>
        <w:t>授权代表签字：＿＿＿＿＿＿　　　　日期：＿＿＿＿年＿＿月＿＿日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