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6"/>
        </w:rPr>
        <w:t>附件一</w:t>
      </w:r>
    </w:p>
    <w:p>
      <w:pPr>
        <w:jc w:val="center"/>
      </w:pPr>
      <w:r>
        <w:rPr>
          <w:rFonts w:ascii="Times New Roman" w:hAnsi="Times New Roman" w:eastAsia="宋体"/>
          <w:b/>
          <w:sz w:val="24"/>
        </w:rPr>
        <w:t>《佣金分成与结算方案》</w:t>
      </w:r>
    </w:p>
    <w:p/>
    <w:p>
      <w:pPr>
        <w:jc w:val="center"/>
      </w:pPr>
      <w:r>
        <w:rPr>
          <w:rFonts w:ascii="Times New Roman" w:hAnsi="Times New Roman" w:eastAsia="宋体"/>
          <w:b/>
          <w:sz w:val="24"/>
        </w:rPr>
        <w:t>方案名称：方案一 · 有补贴版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本附件系《房产经纪业务合作协议》之组成部分，与协议正文具有同等法律效力。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合作方（乙方）：＿＿＿＿＿＿＿＿＿＿＿＿＿＿＿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身份证号 / 统一社会信用代码：＿＿＿＿＿＿＿＿＿＿＿＿＿＿＿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合作起始日：＿＿＿＿年＿＿月＿＿日</w:t>
      </w:r>
    </w:p>
    <w:p/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一、佣金与提成基数口径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佣金：指甲方就乙方参与促成的业务，实际向客户收取的居间佣金（服务费）总额，以居间合同及收款凭证为准。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2. 平台服务费：甲方按佣金总额的 10% 收取平台服务费，用于覆盖系统使用、品牌授权、房源信息、签约与法务、结算与风控等平台资源的投入。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3. 提成基数（业绩）：提成基数 ＝ 佣金总额 ×（1 − 10%）＝ 佣金总额 × 90%。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到账口径：以佣金款项实际到达甲方指定账户、且无退佣、退款、纠纷为结算前提；条件未成就的，不产生提成。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二、提成比例（阶梯累进 · 分段计算）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乙方提成按阶梯累进方式分段计算：提成基数按下列区间拆分，每一区间内的金额适用该区间的提成比例，各区间提成合计即为乙方当期提成。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提成基数区间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该区间提成比例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0 – 6,000 元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22%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提成基数中前 6,000 元的部分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6,000 元以上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提成基数中超过 6,000 元的部分</w:t>
            </w:r>
          </w:p>
        </w:tc>
      </w:tr>
    </w:tbl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示例口径：若提成基数为 8,000 元，则前 6,000 元按 22%、超过的 2,000 元按 40% 分别计提后相加（＝2,120 元），而非对全额统一适用某一比例。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三、首月展业扶持补贴（一次性 · 非劳动报酬）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1. 甲方对合作首月内完成基础展业动作的乙方，给予一次性「展业扶持补贴」人民币 4,000 元（大写：肆仟元整）。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该补贴性质：一次性、非劳动报酬、非保底工资；仅适用于自本协议生效之日起的第一个自然月，此后不重复、不递延、不并入提成。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发放条件：乙方在合作首月内完成双方书面确认的《首月展业计划确认单》所列基础展业动作，并经双方确认。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该补贴不改变双方非劳动关系的性质，不构成甲方对乙方的劳动管理；补贴对应的税费依法处理（乙方为自然人的，由甲方依法预扣预缴）。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四、提成计算示例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以下示例以单月累计提成基数计算，仅为计算方式演示，实际以本附件约定的业绩累计口径为准。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提成基数（元）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计算过程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乙方提成（元）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5000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5000×22%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1100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8000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6000×22% + 2000×40%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2120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15000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6000×22% + 9000×40%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4920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20000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6000×22% + 14000×40%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6920</w:t>
            </w:r>
          </w:p>
        </w:tc>
      </w:tr>
    </w:tbl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五、结算周期与方式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业绩累计口径：■按当月累计提成基数（月度累计）　□按单笔业务提成基数。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结算周期：□随单结算　□按周结算　□按半月结算（勾选其一）。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结算流程：甲方出具《业务结算确认单》→ 双方对账确认 → 甲方以对公账户直接支付至乙方指定账户。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支付时限：结算条件成就后＿＿个工作日内。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5. 收款账户：乙方为自然人的，为其本人实名银行账户；乙方为个体工商户的，为其对公账户。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六、税费处理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乙方为自然人的：提成收入属"劳务报酬所得"，甲方作为支付方系法定扣缴义务人，依法按次（连续性收入以一个月内取得的收入为一次）预扣预缴个人所得税——每次收入不超过 4,000 元的减除 800 元费用，4,000 元以上的减除 20% 费用，余额适用 20%–40% 三级预扣率；年度终了由乙方并入综合所得办理汇算清缴，多退少补。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乙方为个体工商户的：提成收入属"经营所得"，由乙方自行依法申报缴纳并开具发票，甲方依法不代扣代缴。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乙方应配合甲方依法履行扣缴义务；乙方不得要求甲方以"工资""薪酬"等名目处理提成款。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双方非劳动关系，甲方不代缴社会保险与公积金。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七、票据与凭证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乙方为个体工商户的，应按结算金额向甲方开具合法有效发票。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乙方为自然人的，可依法向税务机关申请代开增值税普通发票，或按甲方要求提供合法收款凭证。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因乙方未提供合规票据致使甲方承担额外税负或损失的，由乙方承担相应责任。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八、扣回与冲抵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因乙方过错导致退佣、赔偿的，甲方有权在后续提成中相应扣回，并向乙方出具书面说明。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因退佣、退款导致当期提成基数回落的，甲方有权按调整后的提成基数重新核算，对已多付部分予以冲抵。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乙方对扣回、冲抵有异议的，可依据协议争议解决条款协商处理。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九、其他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本附件关于平台服务费、提成比例、补贴的约定，与协议正文不一致的，以本附件为准。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本附件一式两份，甲乙双方各执一份，自双方签字（盖章）之日起生效。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甲方（盖章）：＿＿＿＿＿＿＿＿　　乙方（签字／盖章）：＿＿＿＿＿＿＿＿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授权代表签字：＿＿＿＿＿＿　　　　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